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EA5" w:rsidRPr="00667EA5" w:rsidRDefault="00667EA5" w:rsidP="00667EA5">
      <w:pPr>
        <w:pStyle w:val="1"/>
        <w:spacing w:before="0" w:after="150" w:line="360" w:lineRule="atLeast"/>
        <w:textAlignment w:val="baseline"/>
        <w:rPr>
          <w:rFonts w:ascii="微軟正黑體" w:eastAsia="微軟正黑體" w:hAnsi="微軟正黑體"/>
          <w:b w:val="0"/>
          <w:bCs w:val="0"/>
          <w:color w:val="1D1D1D"/>
          <w:sz w:val="40"/>
          <w:szCs w:val="40"/>
        </w:rPr>
      </w:pPr>
      <w:r w:rsidRPr="00667EA5">
        <w:rPr>
          <w:rFonts w:ascii="微軟正黑體" w:eastAsia="微軟正黑體" w:hAnsi="微軟正黑體" w:hint="eastAsia"/>
          <w:b w:val="0"/>
          <w:bCs w:val="0"/>
          <w:color w:val="1D1D1D"/>
          <w:sz w:val="40"/>
          <w:szCs w:val="40"/>
        </w:rPr>
        <w:t>澳洲田園城市I：花園郊區(Garden Suburb)空間發展政策</w:t>
      </w:r>
    </w:p>
    <w:p w:rsidR="00667EA5" w:rsidRDefault="00FD5FF7" w:rsidP="00667EA5">
      <w:pPr>
        <w:textAlignment w:val="baseline"/>
        <w:rPr>
          <w:rFonts w:ascii="inherit" w:eastAsia="新細明體" w:hAnsi="inherit" w:hint="eastAsia"/>
          <w:color w:val="808080"/>
        </w:rPr>
      </w:pPr>
      <w:r>
        <w:rPr>
          <w:rStyle w:val="posted-on"/>
          <w:rFonts w:ascii="inherit" w:hAnsi="inherit" w:hint="eastAsia"/>
          <w:color w:val="808080"/>
          <w:sz w:val="21"/>
          <w:szCs w:val="21"/>
          <w:bdr w:val="none" w:sz="0" w:space="0" w:color="auto" w:frame="1"/>
        </w:rPr>
        <w:t>資料來源：</w:t>
      </w:r>
      <w:hyperlink r:id="rId7" w:history="1">
        <w:r w:rsidR="00667EA5">
          <w:rPr>
            <w:rStyle w:val="a3"/>
            <w:rFonts w:ascii="inherit" w:hAnsi="inherit"/>
            <w:color w:val="E14546"/>
            <w:sz w:val="21"/>
            <w:szCs w:val="21"/>
            <w:bdr w:val="none" w:sz="0" w:space="0" w:color="auto" w:frame="1"/>
          </w:rPr>
          <w:t>2016/08/10</w:t>
        </w:r>
      </w:hyperlink>
      <w:r w:rsidRPr="00FD5FF7">
        <w:t xml:space="preserve"> </w:t>
      </w:r>
      <w:hyperlink r:id="rId8" w:history="1">
        <w:r w:rsidRPr="00BD51DA">
          <w:rPr>
            <w:rStyle w:val="a3"/>
            <w:rFonts w:ascii="inherit" w:hAnsi="inherit"/>
            <w:sz w:val="21"/>
            <w:szCs w:val="21"/>
            <w:bdr w:val="none" w:sz="0" w:space="0" w:color="auto" w:frame="1"/>
          </w:rPr>
          <w:t>https://eyesonplace.net/2016/08/10/3143/</w:t>
        </w:r>
      </w:hyperlink>
      <w:r>
        <w:rPr>
          <w:rStyle w:val="posted-on"/>
          <w:rFonts w:ascii="inherit" w:hAnsi="inherit" w:hint="eastAsia"/>
          <w:color w:val="808080"/>
          <w:sz w:val="21"/>
          <w:szCs w:val="21"/>
          <w:bdr w:val="none" w:sz="0" w:space="0" w:color="auto" w:frame="1"/>
        </w:rPr>
        <w:t>眼底城市</w:t>
      </w:r>
    </w:p>
    <w:p w:rsidR="00667EA5" w:rsidRDefault="00667EA5" w:rsidP="00667EA5">
      <w:pPr>
        <w:pStyle w:val="Web"/>
        <w:shd w:val="clear" w:color="auto" w:fill="FFFFFF"/>
        <w:spacing w:before="0" w:beforeAutospacing="0" w:after="0" w:afterAutospacing="0" w:line="400" w:lineRule="exact"/>
        <w:jc w:val="both"/>
        <w:textAlignment w:val="baseline"/>
        <w:rPr>
          <w:rFonts w:ascii="inherit" w:eastAsia="微軟正黑體" w:hAnsi="inherit"/>
          <w:color w:val="404040"/>
          <w:sz w:val="27"/>
          <w:szCs w:val="27"/>
        </w:rPr>
      </w:pPr>
      <w:r>
        <w:rPr>
          <w:rFonts w:ascii="inherit" w:eastAsia="微軟正黑體" w:hAnsi="inherit"/>
          <w:color w:val="404040"/>
          <w:sz w:val="27"/>
          <w:szCs w:val="27"/>
        </w:rPr>
        <w:t>宜居健康社區的討論，可從大的城市與周邊空間結構開始深入至小的社區環境。畢竟我們是生活在自然環境下的人為都市界面之中，較大尺度的自然生態影響著每個小社區環境。因此要建立起健康城市的自然生態循環，綠色基盤規劃是不可或缺的要素。本文要介紹的澳洲首都特區（</w:t>
      </w:r>
      <w:r>
        <w:rPr>
          <w:rFonts w:ascii="inherit" w:eastAsia="微軟正黑體" w:hAnsi="inherit"/>
          <w:color w:val="404040"/>
          <w:sz w:val="27"/>
          <w:szCs w:val="27"/>
        </w:rPr>
        <w:t xml:space="preserve">ACT, Australian Capital Territory </w:t>
      </w:r>
      <w:r>
        <w:rPr>
          <w:rFonts w:ascii="inherit" w:eastAsia="微軟正黑體" w:hAnsi="inherit"/>
          <w:color w:val="404040"/>
          <w:sz w:val="27"/>
          <w:szCs w:val="27"/>
        </w:rPr>
        <w:t>），曾獲得「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世界最佳居住城市環境</w:t>
      </w:r>
      <w:r>
        <w:rPr>
          <w:rFonts w:ascii="inherit" w:eastAsia="微軟正黑體" w:hAnsi="inherit"/>
          <w:color w:val="404040"/>
          <w:sz w:val="27"/>
          <w:szCs w:val="27"/>
        </w:rPr>
        <w:t>」（</w:t>
      </w:r>
      <w:r>
        <w:rPr>
          <w:rFonts w:ascii="inherit" w:eastAsia="微軟正黑體" w:hAnsi="inherit"/>
          <w:color w:val="404040"/>
          <w:sz w:val="27"/>
          <w:szCs w:val="27"/>
        </w:rPr>
        <w:t>Regional Well-Being Report, OECD, 2014</w:t>
      </w:r>
      <w:r>
        <w:rPr>
          <w:rFonts w:ascii="inherit" w:eastAsia="微軟正黑體" w:hAnsi="inherit"/>
          <w:color w:val="404040"/>
          <w:sz w:val="27"/>
          <w:szCs w:val="27"/>
        </w:rPr>
        <w:t>）</w:t>
      </w:r>
      <w:r>
        <w:rPr>
          <w:rFonts w:ascii="inherit" w:eastAsia="微軟正黑體" w:hAnsi="inherit"/>
          <w:color w:val="404040"/>
          <w:sz w:val="18"/>
          <w:szCs w:val="18"/>
          <w:bdr w:val="none" w:sz="0" w:space="0" w:color="auto" w:frame="1"/>
          <w:vertAlign w:val="superscript"/>
        </w:rPr>
        <w:t>[1]</w:t>
      </w:r>
      <w:r>
        <w:rPr>
          <w:rFonts w:ascii="inherit" w:eastAsia="微軟正黑體" w:hAnsi="inherit"/>
          <w:color w:val="404040"/>
          <w:sz w:val="27"/>
          <w:szCs w:val="27"/>
        </w:rPr>
        <w:t>，便是奠基於具有前瞻性的城市整體性空間規劃政策。</w:t>
      </w:r>
    </w:p>
    <w:p w:rsidR="00667EA5" w:rsidRDefault="00667EA5" w:rsidP="00667EA5">
      <w:pPr>
        <w:pStyle w:val="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inherit" w:eastAsia="微軟正黑體" w:hAnsi="inherit"/>
          <w:color w:val="404040"/>
          <w:sz w:val="27"/>
          <w:szCs w:val="27"/>
        </w:rPr>
      </w:pPr>
      <w:r>
        <w:rPr>
          <w:rFonts w:ascii="inherit" w:eastAsia="微軟正黑體" w:hAnsi="inherit" w:hint="eastAsia"/>
          <w:noProof/>
          <w:color w:val="404040"/>
          <w:sz w:val="27"/>
          <w:szCs w:val="27"/>
        </w:rPr>
        <w:drawing>
          <wp:inline distT="0" distB="0" distL="0" distR="0">
            <wp:extent cx="6736080" cy="3781407"/>
            <wp:effectExtent l="0" t="0" r="7620" b="0"/>
            <wp:docPr id="4" name="圖片 4" descr="https://eyesonplace.net/wp-content/uploads/2016/08/canberrathebestpl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yesonplace.net/wp-content/uploads/2016/08/canberrathebestplac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362" cy="3793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微軟正黑體" w:hAnsi="inherit"/>
          <w:color w:val="FF6600"/>
          <w:sz w:val="20"/>
          <w:szCs w:val="20"/>
          <w:bdr w:val="none" w:sz="0" w:space="0" w:color="auto" w:frame="1"/>
        </w:rPr>
        <w:t>風景如畫的澳洲首都特區（</w:t>
      </w:r>
      <w:r>
        <w:rPr>
          <w:rFonts w:ascii="inherit" w:eastAsia="微軟正黑體" w:hAnsi="inherit"/>
          <w:color w:val="FF6600"/>
          <w:sz w:val="20"/>
          <w:szCs w:val="20"/>
          <w:bdr w:val="none" w:sz="0" w:space="0" w:color="auto" w:frame="1"/>
        </w:rPr>
        <w:t>Source: </w:t>
      </w:r>
      <w:hyperlink r:id="rId10" w:tgtFrame="_blank" w:history="1">
        <w:r>
          <w:rPr>
            <w:rStyle w:val="a3"/>
            <w:rFonts w:ascii="inherit" w:eastAsia="微軟正黑體" w:hAnsi="inherit"/>
            <w:color w:val="E14546"/>
            <w:sz w:val="20"/>
            <w:szCs w:val="20"/>
            <w:bdr w:val="none" w:sz="0" w:space="0" w:color="auto" w:frame="1"/>
          </w:rPr>
          <w:t>Canberra Times</w:t>
        </w:r>
      </w:hyperlink>
      <w:r>
        <w:rPr>
          <w:rFonts w:ascii="inherit" w:eastAsia="微軟正黑體" w:hAnsi="inherit"/>
          <w:color w:val="FF6600"/>
          <w:sz w:val="20"/>
          <w:szCs w:val="20"/>
          <w:bdr w:val="none" w:sz="0" w:space="0" w:color="auto" w:frame="1"/>
        </w:rPr>
        <w:t>）</w:t>
      </w:r>
    </w:p>
    <w:p w:rsidR="00667EA5" w:rsidRDefault="00667EA5" w:rsidP="00667EA5">
      <w:pPr>
        <w:pStyle w:val="Web"/>
        <w:shd w:val="clear" w:color="auto" w:fill="FFFFFF"/>
        <w:spacing w:before="0" w:beforeAutospacing="0" w:after="120" w:afterAutospacing="0" w:line="400" w:lineRule="exact"/>
        <w:jc w:val="both"/>
        <w:textAlignment w:val="baseline"/>
        <w:rPr>
          <w:rFonts w:ascii="inherit" w:eastAsia="微軟正黑體" w:hAnsi="inherit"/>
          <w:color w:val="404040"/>
          <w:sz w:val="27"/>
          <w:szCs w:val="27"/>
        </w:rPr>
      </w:pPr>
      <w:r>
        <w:rPr>
          <w:rFonts w:ascii="inherit" w:eastAsia="微軟正黑體" w:hAnsi="inherit"/>
          <w:color w:val="404040"/>
          <w:sz w:val="27"/>
          <w:szCs w:val="27"/>
        </w:rPr>
        <w:t>談及澳洲首都特區的城市規劃，必須先談到由英國社會主義改革思想家霍華德（</w:t>
      </w:r>
      <w:r>
        <w:rPr>
          <w:rFonts w:ascii="inherit" w:eastAsia="微軟正黑體" w:hAnsi="inherit"/>
          <w:color w:val="404040"/>
          <w:sz w:val="27"/>
          <w:szCs w:val="27"/>
        </w:rPr>
        <w:t>Ebenezer Howard</w:t>
      </w:r>
      <w:r>
        <w:rPr>
          <w:rFonts w:ascii="inherit" w:eastAsia="微軟正黑體" w:hAnsi="inherit"/>
          <w:color w:val="404040"/>
          <w:sz w:val="27"/>
          <w:szCs w:val="27"/>
        </w:rPr>
        <w:t>）所提倡的田園城市規劃（</w:t>
      </w:r>
      <w:r>
        <w:rPr>
          <w:rFonts w:ascii="inherit" w:eastAsia="微軟正黑體" w:hAnsi="inherit"/>
          <w:color w:val="404040"/>
          <w:sz w:val="27"/>
          <w:szCs w:val="27"/>
        </w:rPr>
        <w:t>Garden City Planning</w:t>
      </w:r>
      <w:r>
        <w:rPr>
          <w:rFonts w:ascii="inherit" w:eastAsia="微軟正黑體" w:hAnsi="inherit"/>
          <w:color w:val="404040"/>
          <w:sz w:val="27"/>
          <w:szCs w:val="27"/>
        </w:rPr>
        <w:t>）。在十九世紀末二十世紀初，因為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工業革命蓬勃展開，人口急速成長湧進城市，一昧追求經濟成長而忽略土地承載度，造成種種汙染。</w:t>
      </w:r>
      <w:r>
        <w:rPr>
          <w:rFonts w:ascii="inherit" w:eastAsia="微軟正黑體" w:hAnsi="inherit"/>
          <w:color w:val="404040"/>
          <w:sz w:val="27"/>
          <w:szCs w:val="27"/>
        </w:rPr>
        <w:t>同時也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欠缺對於居住環境的妥善規劃，進而影響居民的健康。</w:t>
      </w:r>
      <w:r>
        <w:rPr>
          <w:rFonts w:ascii="inherit" w:eastAsia="微軟正黑體" w:hAnsi="inherit"/>
          <w:color w:val="404040"/>
          <w:sz w:val="27"/>
          <w:szCs w:val="27"/>
        </w:rPr>
        <w:t>因此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霍華德提出田園城市的概念，試圖在城市中提供能自給自足的社區鄰里單位，兼顧都市與鄉村兩者居住環境的優點而不受噪音空氣等汙染。</w:t>
      </w:r>
      <w:r>
        <w:rPr>
          <w:rFonts w:ascii="inherit" w:eastAsia="微軟正黑體" w:hAnsi="inherit"/>
          <w:color w:val="404040"/>
          <w:sz w:val="27"/>
          <w:szCs w:val="27"/>
        </w:rPr>
        <w:t>澳洲首都特區從過去的城市綠色基盤建設、鄰里單元計畫（</w:t>
      </w:r>
      <w:r>
        <w:rPr>
          <w:rFonts w:ascii="inherit" w:eastAsia="微軟正黑體" w:hAnsi="inherit"/>
          <w:color w:val="404040"/>
          <w:sz w:val="27"/>
          <w:szCs w:val="27"/>
        </w:rPr>
        <w:t>Neighbourhood Unit</w:t>
      </w:r>
      <w:r>
        <w:rPr>
          <w:rFonts w:ascii="inherit" w:eastAsia="微軟正黑體" w:hAnsi="inherit"/>
          <w:color w:val="404040"/>
          <w:sz w:val="27"/>
          <w:szCs w:val="27"/>
        </w:rPr>
        <w:t>）至現今的花園郊區計畫（</w:t>
      </w:r>
      <w:r>
        <w:rPr>
          <w:rFonts w:ascii="inherit" w:eastAsia="微軟正黑體" w:hAnsi="inherit"/>
          <w:color w:val="404040"/>
          <w:sz w:val="27"/>
          <w:szCs w:val="27"/>
        </w:rPr>
        <w:t>Garden Suburbs</w:t>
      </w:r>
      <w:r>
        <w:rPr>
          <w:rFonts w:ascii="inherit" w:eastAsia="微軟正黑體" w:hAnsi="inherit"/>
          <w:color w:val="404040"/>
          <w:sz w:val="27"/>
          <w:szCs w:val="27"/>
        </w:rPr>
        <w:t>）便是深受過去田園城市理論影響而衍伸的空間發展規劃。</w:t>
      </w:r>
    </w:p>
    <w:p w:rsidR="00667EA5" w:rsidRDefault="00667EA5" w:rsidP="00667EA5">
      <w:pPr>
        <w:pStyle w:val="Web"/>
        <w:shd w:val="clear" w:color="auto" w:fill="FFFFFF"/>
        <w:spacing w:before="0" w:beforeAutospacing="0" w:after="0" w:afterAutospacing="0" w:line="240" w:lineRule="exact"/>
        <w:jc w:val="both"/>
        <w:textAlignment w:val="baseline"/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</w:pP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 xml:space="preserve">[1] 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這是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OECD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（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Organisation for Economic Co-operation and Development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）從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34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個世界已發展國家的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362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>個城市中所作的宜居城市評選，評選項目包含八大指標項目：</w:t>
      </w:r>
      <w:r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  <w:t xml:space="preserve">Income; health ;safety; accessibility to service; civic engagement; education; jobs; environment.  source : </w:t>
      </w:r>
      <w:hyperlink r:id="rId11" w:history="1">
        <w:r w:rsidRPr="00BD51DA">
          <w:rPr>
            <w:rStyle w:val="a3"/>
            <w:rFonts w:ascii="inherit" w:eastAsia="微軟正黑體" w:hAnsi="inherit"/>
            <w:sz w:val="20"/>
            <w:szCs w:val="20"/>
            <w:bdr w:val="none" w:sz="0" w:space="0" w:color="auto" w:frame="1"/>
          </w:rPr>
          <w:t>http://www.canberra.com.au/canberra-the-worlds-most-liveable-city/</w:t>
        </w:r>
      </w:hyperlink>
    </w:p>
    <w:p w:rsidR="00667EA5" w:rsidRDefault="00667EA5" w:rsidP="00667EA5">
      <w:pPr>
        <w:pStyle w:val="Web"/>
        <w:shd w:val="clear" w:color="auto" w:fill="FFFFFF"/>
        <w:spacing w:before="0" w:beforeAutospacing="0" w:after="0" w:afterAutospacing="0" w:line="240" w:lineRule="exact"/>
        <w:jc w:val="both"/>
        <w:textAlignment w:val="baseline"/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</w:pPr>
    </w:p>
    <w:p w:rsidR="00667EA5" w:rsidRDefault="00667EA5" w:rsidP="00667EA5">
      <w:pPr>
        <w:pStyle w:val="Web"/>
        <w:shd w:val="clear" w:color="auto" w:fill="FFFFFF"/>
        <w:spacing w:before="0" w:beforeAutospacing="0" w:after="0" w:afterAutospacing="0" w:line="240" w:lineRule="exact"/>
        <w:jc w:val="both"/>
        <w:textAlignment w:val="baseline"/>
        <w:rPr>
          <w:rFonts w:ascii="inherit" w:eastAsia="微軟正黑體" w:hAnsi="inherit"/>
          <w:color w:val="808080"/>
          <w:sz w:val="20"/>
          <w:szCs w:val="20"/>
          <w:bdr w:val="none" w:sz="0" w:space="0" w:color="auto" w:frame="1"/>
        </w:rPr>
      </w:pPr>
    </w:p>
    <w:p w:rsidR="00667EA5" w:rsidRDefault="00667EA5" w:rsidP="00667EA5">
      <w:pPr>
        <w:pStyle w:val="3"/>
        <w:shd w:val="clear" w:color="auto" w:fill="FFFFFF"/>
        <w:spacing w:before="0" w:beforeAutospacing="0" w:after="0" w:afterAutospacing="0" w:line="288" w:lineRule="atLeast"/>
        <w:jc w:val="both"/>
        <w:textAlignment w:val="baseline"/>
        <w:rPr>
          <w:rFonts w:ascii="微軟正黑體" w:eastAsia="微軟正黑體" w:hAnsi="微軟正黑體"/>
          <w:color w:val="3C4D3D"/>
        </w:rPr>
      </w:pPr>
      <w:r>
        <w:rPr>
          <w:rFonts w:ascii="inherit" w:eastAsia="微軟正黑體" w:hAnsi="inherit"/>
          <w:color w:val="3366FF"/>
          <w:sz w:val="36"/>
          <w:szCs w:val="36"/>
          <w:bdr w:val="none" w:sz="0" w:space="0" w:color="auto" w:frame="1"/>
        </w:rPr>
        <w:t>城市基盤規劃：整合開放空間系統（</w:t>
      </w:r>
      <w:r>
        <w:rPr>
          <w:rFonts w:ascii="inherit" w:eastAsia="微軟正黑體" w:hAnsi="inherit"/>
          <w:color w:val="3366FF"/>
          <w:sz w:val="36"/>
          <w:szCs w:val="36"/>
          <w:bdr w:val="none" w:sz="0" w:space="0" w:color="auto" w:frame="1"/>
        </w:rPr>
        <w:t>Integrated Open Space System</w:t>
      </w:r>
      <w:r>
        <w:rPr>
          <w:rFonts w:ascii="inherit" w:eastAsia="微軟正黑體" w:hAnsi="inherit"/>
          <w:color w:val="3366FF"/>
          <w:sz w:val="36"/>
          <w:szCs w:val="36"/>
          <w:bdr w:val="none" w:sz="0" w:space="0" w:color="auto" w:frame="1"/>
        </w:rPr>
        <w:t>）</w:t>
      </w:r>
    </w:p>
    <w:p w:rsidR="00667EA5" w:rsidRDefault="00667EA5" w:rsidP="00667EA5">
      <w:pPr>
        <w:pStyle w:val="Web"/>
        <w:shd w:val="clear" w:color="auto" w:fill="FFFFFF"/>
        <w:spacing w:before="0" w:beforeAutospacing="0" w:after="0" w:afterAutospacing="0" w:line="400" w:lineRule="exact"/>
        <w:jc w:val="both"/>
        <w:textAlignment w:val="baseline"/>
        <w:rPr>
          <w:rFonts w:ascii="inherit" w:eastAsia="微軟正黑體" w:hAnsi="inherit" w:hint="eastAsia"/>
          <w:color w:val="404040"/>
          <w:sz w:val="27"/>
          <w:szCs w:val="27"/>
        </w:rPr>
      </w:pPr>
      <w:r>
        <w:rPr>
          <w:rFonts w:ascii="inherit" w:eastAsia="微軟正黑體" w:hAnsi="inherit"/>
          <w:color w:val="404040"/>
          <w:sz w:val="27"/>
          <w:szCs w:val="27"/>
        </w:rPr>
        <w:t>「每五位澳洲人就有四位認同：比起缺乏綠化的社區，一個充滿綠意的生活空間更能夠幫助他們的孩子成長</w:t>
      </w:r>
      <w:r>
        <w:rPr>
          <w:rFonts w:ascii="inherit" w:eastAsia="微軟正黑體" w:hAnsi="inherit"/>
          <w:color w:val="404040"/>
          <w:sz w:val="20"/>
          <w:szCs w:val="20"/>
          <w:bdr w:val="none" w:sz="0" w:space="0" w:color="auto" w:frame="1"/>
          <w:vertAlign w:val="superscript"/>
        </w:rPr>
        <w:t>[2]</w:t>
      </w:r>
      <w:r>
        <w:rPr>
          <w:rFonts w:ascii="inherit" w:eastAsia="微軟正黑體" w:hAnsi="inherit"/>
          <w:color w:val="404040"/>
          <w:sz w:val="27"/>
          <w:szCs w:val="27"/>
        </w:rPr>
        <w:t>」。</w:t>
      </w:r>
      <w:r>
        <w:rPr>
          <w:rFonts w:ascii="inherit" w:eastAsia="微軟正黑體" w:hAnsi="inherit"/>
          <w:color w:val="404040"/>
          <w:sz w:val="27"/>
          <w:szCs w:val="27"/>
        </w:rPr>
        <w:t>2016</w:t>
      </w:r>
      <w:r>
        <w:rPr>
          <w:rFonts w:ascii="inherit" w:eastAsia="微軟正黑體" w:hAnsi="inherit"/>
          <w:color w:val="404040"/>
          <w:sz w:val="27"/>
          <w:szCs w:val="27"/>
        </w:rPr>
        <w:t>美國與香港大學的聯合研究發表指出，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人與大自然的樹接觸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 xml:space="preserve"> – 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即使是看看城市裡的樹，或站在城市的樹下，也能夠有舒壓效果。</w:t>
      </w:r>
      <w:r>
        <w:rPr>
          <w:rFonts w:ascii="inherit" w:eastAsia="微軟正黑體" w:hAnsi="inherit"/>
          <w:color w:val="404040"/>
          <w:sz w:val="20"/>
          <w:szCs w:val="20"/>
          <w:bdr w:val="none" w:sz="0" w:space="0" w:color="auto" w:frame="1"/>
          <w:vertAlign w:val="superscript"/>
        </w:rPr>
        <w:t>[3]</w:t>
      </w:r>
      <w:r>
        <w:rPr>
          <w:rFonts w:ascii="inherit" w:eastAsia="微軟正黑體" w:hAnsi="inherit"/>
          <w:color w:val="404040"/>
          <w:sz w:val="27"/>
          <w:szCs w:val="27"/>
        </w:rPr>
        <w:t> </w:t>
      </w:r>
      <w:r>
        <w:rPr>
          <w:rFonts w:ascii="inherit" w:eastAsia="微軟正黑體" w:hAnsi="inherit"/>
          <w:color w:val="404040"/>
          <w:sz w:val="27"/>
          <w:szCs w:val="27"/>
        </w:rPr>
        <w:t>由此可以看出，城市社區裡的綠色基盤（</w:t>
      </w:r>
      <w:r>
        <w:rPr>
          <w:rFonts w:ascii="inherit" w:eastAsia="微軟正黑體" w:hAnsi="inherit"/>
          <w:color w:val="404040"/>
          <w:sz w:val="27"/>
          <w:szCs w:val="27"/>
        </w:rPr>
        <w:t>Green infrastructure</w:t>
      </w:r>
      <w:r>
        <w:rPr>
          <w:rFonts w:ascii="inherit" w:eastAsia="微軟正黑體" w:hAnsi="inherit"/>
          <w:color w:val="404040"/>
          <w:sz w:val="27"/>
          <w:szCs w:val="27"/>
        </w:rPr>
        <w:t>）對於居民健康的重要性。</w:t>
      </w:r>
    </w:p>
    <w:p w:rsidR="00667EA5" w:rsidRPr="00667EA5" w:rsidRDefault="00667EA5" w:rsidP="00667EA5">
      <w:pPr>
        <w:pStyle w:val="Web"/>
        <w:shd w:val="clear" w:color="auto" w:fill="FFFFFF"/>
        <w:spacing w:before="0" w:beforeAutospacing="0" w:after="0" w:afterAutospacing="0" w:line="400" w:lineRule="exact"/>
        <w:jc w:val="both"/>
        <w:textAlignment w:val="baseline"/>
        <w:rPr>
          <w:rFonts w:ascii="inherit" w:eastAsia="微軟正黑體" w:hAnsi="inherit"/>
          <w:b/>
          <w:color w:val="FF0000"/>
          <w:sz w:val="27"/>
          <w:szCs w:val="27"/>
        </w:rPr>
      </w:pPr>
      <w:r>
        <w:rPr>
          <w:rFonts w:ascii="inherit" w:eastAsia="微軟正黑體" w:hAnsi="inherit"/>
          <w:color w:val="404040"/>
          <w:sz w:val="27"/>
          <w:szCs w:val="27"/>
        </w:rPr>
        <w:t>澳洲首都特區，是全澳洲六大省中最小的行政省，人口約</w:t>
      </w:r>
      <w:r>
        <w:rPr>
          <w:rFonts w:ascii="inherit" w:eastAsia="微軟正黑體" w:hAnsi="inherit"/>
          <w:color w:val="404040"/>
          <w:sz w:val="27"/>
          <w:szCs w:val="27"/>
        </w:rPr>
        <w:t>40</w:t>
      </w:r>
      <w:r>
        <w:rPr>
          <w:rFonts w:ascii="inherit" w:eastAsia="微軟正黑體" w:hAnsi="inherit"/>
          <w:color w:val="404040"/>
          <w:sz w:val="27"/>
          <w:szCs w:val="27"/>
        </w:rPr>
        <w:t>萬人，以百年景觀花園城市聞名。建城至今仍與百年前的規劃原則構想一樣，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生活空間擁有充足的光線、新鮮的空氣以及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70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多萬棵行道樹，保護並提供動植物棲息地。</w:t>
      </w:r>
      <w:r>
        <w:rPr>
          <w:rFonts w:ascii="inherit" w:eastAsia="微軟正黑體" w:hAnsi="inherit"/>
          <w:color w:val="404040"/>
          <w:sz w:val="27"/>
          <w:szCs w:val="27"/>
        </w:rPr>
        <w:t>其中具有前瞻性的整合開放空間系統（</w:t>
      </w:r>
      <w:r>
        <w:rPr>
          <w:rFonts w:ascii="inherit" w:eastAsia="微軟正黑體" w:hAnsi="inherit"/>
          <w:color w:val="404040"/>
          <w:sz w:val="27"/>
          <w:szCs w:val="27"/>
        </w:rPr>
        <w:t>Integrated Open Space System</w:t>
      </w:r>
      <w:r>
        <w:rPr>
          <w:rFonts w:ascii="inherit" w:eastAsia="微軟正黑體" w:hAnsi="inherit"/>
          <w:color w:val="404040"/>
          <w:sz w:val="27"/>
          <w:szCs w:val="27"/>
        </w:rPr>
        <w:t>）扮演著重要的角色，它結合城市周圍視覺和實體空間景觀，將城市裡的各種開放空間連接如一串綠色項鍊，從小型的開放空間到鄰里街道的行道樹，從私領域到公領域互相貫通，是百年前城市規劃師葛里芬（</w:t>
      </w:r>
      <w:r>
        <w:rPr>
          <w:rFonts w:ascii="inherit" w:eastAsia="微軟正黑體" w:hAnsi="inherit"/>
          <w:color w:val="404040"/>
          <w:sz w:val="27"/>
          <w:szCs w:val="27"/>
        </w:rPr>
        <w:t>Walter Burley Griffin</w:t>
      </w:r>
      <w:r>
        <w:rPr>
          <w:rFonts w:ascii="inherit" w:eastAsia="微軟正黑體" w:hAnsi="inherit"/>
          <w:color w:val="404040"/>
          <w:sz w:val="27"/>
          <w:szCs w:val="27"/>
        </w:rPr>
        <w:t>）參考田園城市原則所留下的卓越成就</w:t>
      </w:r>
      <w:r>
        <w:rPr>
          <w:rFonts w:ascii="inherit" w:eastAsia="微軟正黑體" w:hAnsi="inherit"/>
          <w:color w:val="404040"/>
          <w:sz w:val="20"/>
          <w:szCs w:val="20"/>
          <w:bdr w:val="none" w:sz="0" w:space="0" w:color="auto" w:frame="1"/>
          <w:vertAlign w:val="superscript"/>
        </w:rPr>
        <w:t>[4]</w:t>
      </w:r>
      <w:r>
        <w:rPr>
          <w:rFonts w:ascii="inherit" w:eastAsia="微軟正黑體" w:hAnsi="inherit"/>
          <w:color w:val="404040"/>
          <w:sz w:val="27"/>
          <w:szCs w:val="27"/>
        </w:rPr>
        <w:t>。街道所廣植的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喬木街樹除了提供新鮮空氣給居民外，也是串連周邊自然山丘或山林的重要生態廊道，提供給不同鳥類動物的棲息空間。</w:t>
      </w:r>
      <w:r>
        <w:rPr>
          <w:rFonts w:ascii="inherit" w:eastAsia="微軟正黑體" w:hAnsi="inherit"/>
          <w:color w:val="404040"/>
          <w:sz w:val="27"/>
          <w:szCs w:val="27"/>
        </w:rPr>
        <w:t>經常可見當地鸚鵡鳥類甚至是袋鼠蜥蜴，或在樹上，或在馬路街邊，認真地埋頭享用自己的食物。另一方面也</w:t>
      </w:r>
      <w:r w:rsidRPr="00667EA5">
        <w:rPr>
          <w:rFonts w:ascii="inherit" w:eastAsia="微軟正黑體" w:hAnsi="inherit"/>
          <w:b/>
          <w:color w:val="FF0000"/>
          <w:sz w:val="27"/>
          <w:szCs w:val="27"/>
        </w:rPr>
        <w:t>讓居民們清楚感受到自己所生活的鄰里，同時也是其他動物們的共生系統，進而學會尊重與保育自然生態環境。</w:t>
      </w:r>
    </w:p>
    <w:p w:rsidR="00667EA5" w:rsidRDefault="00667EA5" w:rsidP="00667EA5">
      <w:pPr>
        <w:pStyle w:val="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inherit" w:eastAsia="微軟正黑體" w:hAnsi="inherit"/>
          <w:color w:val="404040"/>
          <w:sz w:val="27"/>
          <w:szCs w:val="27"/>
        </w:rPr>
      </w:pPr>
      <w:r>
        <w:rPr>
          <w:rFonts w:ascii="inherit" w:eastAsia="微軟正黑體" w:hAnsi="inherit" w:hint="eastAsia"/>
          <w:noProof/>
          <w:color w:val="404040"/>
          <w:sz w:val="27"/>
          <w:szCs w:val="27"/>
        </w:rPr>
        <w:drawing>
          <wp:inline distT="0" distB="0" distL="0" distR="0">
            <wp:extent cx="6529966" cy="2956560"/>
            <wp:effectExtent l="0" t="0" r="4445" b="0"/>
            <wp:docPr id="3" name="圖片 3" descr="https://eyesonplace.net/wp-content/uploads/2016/08/ACTsurround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yesonplace.net/wp-content/uploads/2016/08/ACTsurrounding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694" cy="296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微軟正黑體" w:hAnsi="inherit"/>
          <w:color w:val="FF6600"/>
          <w:sz w:val="20"/>
          <w:szCs w:val="20"/>
          <w:bdr w:val="none" w:sz="0" w:space="0" w:color="auto" w:frame="1"/>
        </w:rPr>
        <w:t>澳洲首都特區內部及四周綿延環繞著自然生態系統（綠色區塊），包含西南方山林生態、分隔各區界線的自然丘陵以及中央的湖泊。（</w:t>
      </w:r>
      <w:r>
        <w:rPr>
          <w:rFonts w:ascii="inherit" w:eastAsia="微軟正黑體" w:hAnsi="inherit"/>
          <w:color w:val="FF6600"/>
          <w:sz w:val="20"/>
          <w:szCs w:val="20"/>
          <w:bdr w:val="none" w:sz="0" w:space="0" w:color="auto" w:frame="1"/>
        </w:rPr>
        <w:t xml:space="preserve"> Source: Australia National Capital Authority</w:t>
      </w:r>
      <w:r>
        <w:rPr>
          <w:rFonts w:ascii="inherit" w:eastAsia="微軟正黑體" w:hAnsi="inherit"/>
          <w:color w:val="FF6600"/>
          <w:sz w:val="20"/>
          <w:szCs w:val="20"/>
          <w:bdr w:val="none" w:sz="0" w:space="0" w:color="auto" w:frame="1"/>
        </w:rPr>
        <w:t>）</w:t>
      </w:r>
    </w:p>
    <w:p w:rsidR="00667EA5" w:rsidRPr="00667EA5" w:rsidRDefault="00667EA5" w:rsidP="00667EA5">
      <w:pPr>
        <w:widowControl/>
        <w:shd w:val="clear" w:color="auto" w:fill="FFFFFF"/>
        <w:spacing w:line="288" w:lineRule="atLeast"/>
        <w:textAlignment w:val="baseline"/>
        <w:outlineLvl w:val="2"/>
        <w:rPr>
          <w:rFonts w:ascii="微軟正黑體" w:eastAsia="微軟正黑體" w:hAnsi="微軟正黑體" w:cs="新細明體"/>
          <w:b/>
          <w:bCs/>
          <w:color w:val="3C4D3D"/>
          <w:kern w:val="0"/>
          <w:sz w:val="27"/>
          <w:szCs w:val="27"/>
        </w:rPr>
      </w:pPr>
      <w:r w:rsidRPr="00667EA5">
        <w:rPr>
          <w:rFonts w:ascii="inherit" w:eastAsia="微軟正黑體" w:hAnsi="inherit" w:cs="新細明體"/>
          <w:b/>
          <w:bCs/>
          <w:color w:val="3366FF"/>
          <w:kern w:val="0"/>
          <w:sz w:val="36"/>
          <w:szCs w:val="36"/>
          <w:bdr w:val="none" w:sz="0" w:space="0" w:color="auto" w:frame="1"/>
        </w:rPr>
        <w:t>鄰里單元計畫（</w:t>
      </w:r>
      <w:r w:rsidRPr="00667EA5">
        <w:rPr>
          <w:rFonts w:ascii="inherit" w:eastAsia="微軟正黑體" w:hAnsi="inherit" w:cs="新細明體"/>
          <w:b/>
          <w:bCs/>
          <w:color w:val="3366FF"/>
          <w:kern w:val="0"/>
          <w:sz w:val="36"/>
          <w:szCs w:val="36"/>
          <w:bdr w:val="none" w:sz="0" w:space="0" w:color="auto" w:frame="1"/>
        </w:rPr>
        <w:t>Neighbourhood Unit</w:t>
      </w:r>
      <w:r w:rsidRPr="00667EA5">
        <w:rPr>
          <w:rFonts w:ascii="inherit" w:eastAsia="微軟正黑體" w:hAnsi="inherit" w:cs="新細明體"/>
          <w:b/>
          <w:bCs/>
          <w:color w:val="3366FF"/>
          <w:kern w:val="0"/>
          <w:sz w:val="36"/>
          <w:szCs w:val="36"/>
          <w:bdr w:val="none" w:sz="0" w:space="0" w:color="auto" w:frame="1"/>
        </w:rPr>
        <w:t>）</w:t>
      </w:r>
    </w:p>
    <w:p w:rsidR="00667EA5" w:rsidRPr="00667EA5" w:rsidRDefault="00667EA5" w:rsidP="00667EA5">
      <w:pPr>
        <w:widowControl/>
        <w:shd w:val="clear" w:color="auto" w:fill="FFFFFF"/>
        <w:spacing w:line="400" w:lineRule="exact"/>
        <w:textAlignment w:val="baseline"/>
        <w:rPr>
          <w:rFonts w:ascii="微軟正黑體" w:eastAsia="微軟正黑體" w:hAnsi="微軟正黑體" w:cs="新細明體" w:hint="eastAsia"/>
          <w:b/>
          <w:color w:val="FF0000"/>
          <w:kern w:val="0"/>
          <w:sz w:val="27"/>
          <w:szCs w:val="27"/>
        </w:rPr>
      </w:pPr>
      <w:r w:rsidRPr="00667EA5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澳洲首都特區住宅區規劃，可說是全世界應用「鄰里單元計畫」（Neighborhood Unit）最多的城市。這些社區或許是澳大利亞田園城市運動（Garden City Movement）所留下的最佳案例，也是英澳美等地最常見的郊區社區類型，一個完整的鄰里單元除了必須</w:t>
      </w:r>
      <w:r w:rsidRPr="00667EA5">
        <w:rPr>
          <w:rFonts w:ascii="微軟正黑體" w:eastAsia="微軟正黑體" w:hAnsi="微軟正黑體" w:cs="新細明體" w:hint="eastAsia"/>
          <w:b/>
          <w:color w:val="FF0000"/>
          <w:kern w:val="0"/>
          <w:sz w:val="27"/>
          <w:szCs w:val="27"/>
        </w:rPr>
        <w:t>配置住宅用地外，還必須兼顧公共服務設施，以確保居民生活品質舒適與便利性。</w:t>
      </w:r>
    </w:p>
    <w:p w:rsidR="00667EA5" w:rsidRPr="00667EA5" w:rsidRDefault="00667EA5" w:rsidP="00667EA5">
      <w:pPr>
        <w:widowControl/>
        <w:shd w:val="clear" w:color="auto" w:fill="FFFFFF"/>
        <w:jc w:val="center"/>
        <w:textAlignment w:val="baseline"/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</w:pPr>
      <w:r w:rsidRPr="00667EA5">
        <w:rPr>
          <w:rFonts w:ascii="微軟正黑體" w:eastAsia="微軟正黑體" w:hAnsi="微軟正黑體" w:cs="新細明體"/>
          <w:noProof/>
          <w:color w:val="404040"/>
          <w:kern w:val="0"/>
          <w:sz w:val="27"/>
          <w:szCs w:val="27"/>
        </w:rPr>
        <w:drawing>
          <wp:inline distT="0" distB="0" distL="0" distR="0">
            <wp:extent cx="6408420" cy="4000060"/>
            <wp:effectExtent l="0" t="0" r="0" b="635"/>
            <wp:docPr id="2" name="圖片 2" descr="https://eyesonplace.net/wp-content/uploads/2016/08/gardensuburbs-1024x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yesonplace.net/wp-content/uploads/2016/08/gardensuburbs-1024x76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815" cy="4010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7EA5">
        <w:rPr>
          <w:rFonts w:ascii="inherit" w:eastAsia="微軟正黑體" w:hAnsi="inherit" w:cs="新細明體"/>
          <w:color w:val="FF6600"/>
          <w:kern w:val="0"/>
          <w:sz w:val="20"/>
          <w:szCs w:val="20"/>
          <w:bdr w:val="none" w:sz="0" w:space="0" w:color="auto" w:frame="1"/>
        </w:rPr>
        <w:t xml:space="preserve">1960 </w:t>
      </w:r>
      <w:r w:rsidRPr="00667EA5">
        <w:rPr>
          <w:rFonts w:ascii="inherit" w:eastAsia="微軟正黑體" w:hAnsi="inherit" w:cs="新細明體"/>
          <w:color w:val="FF6600"/>
          <w:kern w:val="0"/>
          <w:sz w:val="20"/>
          <w:szCs w:val="20"/>
          <w:bdr w:val="none" w:sz="0" w:space="0" w:color="auto" w:frame="1"/>
        </w:rPr>
        <w:t>年代所規劃的田園社區（</w:t>
      </w:r>
      <w:r w:rsidRPr="00667EA5">
        <w:rPr>
          <w:rFonts w:ascii="inherit" w:eastAsia="微軟正黑體" w:hAnsi="inherit" w:cs="新細明體"/>
          <w:color w:val="FF6600"/>
          <w:kern w:val="0"/>
          <w:sz w:val="20"/>
          <w:szCs w:val="20"/>
          <w:bdr w:val="none" w:sz="0" w:space="0" w:color="auto" w:frame="1"/>
        </w:rPr>
        <w:t>Garden Suburbs</w:t>
      </w:r>
      <w:r w:rsidRPr="00667EA5">
        <w:rPr>
          <w:rFonts w:ascii="inherit" w:eastAsia="微軟正黑體" w:hAnsi="inherit" w:cs="新細明體"/>
          <w:color w:val="FF6600"/>
          <w:kern w:val="0"/>
          <w:sz w:val="20"/>
          <w:szCs w:val="20"/>
          <w:bdr w:val="none" w:sz="0" w:space="0" w:color="auto" w:frame="1"/>
        </w:rPr>
        <w:t>）及綠色通行步道（</w:t>
      </w:r>
      <w:r w:rsidRPr="00667EA5">
        <w:rPr>
          <w:rFonts w:ascii="inherit" w:eastAsia="微軟正黑體" w:hAnsi="inherit" w:cs="新細明體"/>
          <w:color w:val="FF6600"/>
          <w:kern w:val="0"/>
          <w:sz w:val="20"/>
          <w:szCs w:val="20"/>
          <w:bdr w:val="none" w:sz="0" w:space="0" w:color="auto" w:frame="1"/>
        </w:rPr>
        <w:t>internal path</w:t>
      </w:r>
      <w:r w:rsidRPr="00667EA5">
        <w:rPr>
          <w:rFonts w:ascii="inherit" w:eastAsia="微軟正黑體" w:hAnsi="inherit" w:cs="新細明體"/>
          <w:color w:val="FF6600"/>
          <w:kern w:val="0"/>
          <w:sz w:val="20"/>
          <w:szCs w:val="20"/>
          <w:bdr w:val="none" w:sz="0" w:space="0" w:color="auto" w:frame="1"/>
        </w:rPr>
        <w:t>）（</w:t>
      </w:r>
      <w:r w:rsidRPr="00667EA5">
        <w:rPr>
          <w:rFonts w:ascii="inherit" w:eastAsia="微軟正黑體" w:hAnsi="inherit" w:cs="新細明體"/>
          <w:color w:val="FF6600"/>
          <w:kern w:val="0"/>
          <w:sz w:val="20"/>
          <w:szCs w:val="20"/>
          <w:bdr w:val="none" w:sz="0" w:space="0" w:color="auto" w:frame="1"/>
        </w:rPr>
        <w:t>Source: Janelee Li</w:t>
      </w:r>
      <w:r w:rsidRPr="00667EA5">
        <w:rPr>
          <w:rFonts w:ascii="inherit" w:eastAsia="微軟正黑體" w:hAnsi="inherit" w:cs="新細明體"/>
          <w:color w:val="FF6600"/>
          <w:kern w:val="0"/>
          <w:sz w:val="20"/>
          <w:szCs w:val="20"/>
          <w:bdr w:val="none" w:sz="0" w:space="0" w:color="auto" w:frame="1"/>
        </w:rPr>
        <w:t>）</w:t>
      </w:r>
    </w:p>
    <w:p w:rsidR="00667EA5" w:rsidRPr="00667EA5" w:rsidRDefault="00667EA5" w:rsidP="00667EA5">
      <w:pPr>
        <w:widowControl/>
        <w:shd w:val="clear" w:color="auto" w:fill="FFFFFF"/>
        <w:spacing w:line="400" w:lineRule="exact"/>
        <w:textAlignment w:val="baseline"/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</w:pPr>
      <w:r w:rsidRPr="00667EA5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在鄰里單元計劃設計中，通常以5000人居住的社區作為一個規劃單位，</w:t>
      </w:r>
      <w:r w:rsidRPr="00667EA5">
        <w:rPr>
          <w:rFonts w:ascii="微軟正黑體" w:eastAsia="微軟正黑體" w:hAnsi="微軟正黑體" w:cs="新細明體" w:hint="eastAsia"/>
          <w:b/>
          <w:color w:val="FF0000"/>
          <w:kern w:val="0"/>
          <w:sz w:val="27"/>
          <w:szCs w:val="27"/>
        </w:rPr>
        <w:t>每個規劃區域的中心點配置鄰里小型生活設施與商業服務群，包含藥局、郵局、商店，以及幼兒園、中小學等教育中心。</w:t>
      </w:r>
      <w:r w:rsidRPr="00667EA5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從社區中的各個住宅到區域中心步行距離，僅需五至十分鐘，以內部綠色通行步道（internal path）串連，不受主要幹道車流影響。步道不但連結到社區的中心活動節點，其本身便連成一大片綠地空間以及小型的孩童遊戲場；社區小學旁也配置大面積的綠地球場（Community Oval），可供學生及鄰里居民使用。這些綠地空間沒有使用管制時間，因此隨時可見不同的團體或孩子們在大草坪上活動，除了進行板球、棒球、足球等等球類運動，也常見孩子們圍繞著自由奔跑，翻筋斗，玩土，爬樹、玩遊戲。鄰里單元的特色整理歸納如下：</w:t>
      </w:r>
    </w:p>
    <w:p w:rsidR="00667EA5" w:rsidRPr="00667EA5" w:rsidRDefault="00667EA5" w:rsidP="00667EA5">
      <w:pPr>
        <w:widowControl/>
        <w:numPr>
          <w:ilvl w:val="0"/>
          <w:numId w:val="1"/>
        </w:numPr>
        <w:shd w:val="clear" w:color="auto" w:fill="FFFFFF"/>
        <w:spacing w:line="400" w:lineRule="exact"/>
        <w:ind w:left="360"/>
        <w:textAlignment w:val="baseline"/>
        <w:rPr>
          <w:rFonts w:ascii="inherit" w:eastAsia="微軟正黑體" w:hAnsi="inherit" w:cs="新細明體" w:hint="eastAsia"/>
          <w:color w:val="404040"/>
          <w:kern w:val="0"/>
          <w:sz w:val="27"/>
          <w:szCs w:val="27"/>
        </w:rPr>
      </w:pP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鄰里社區中心形成主要社交中心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–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包含小學、幼兒園、公園、運動場、商店、藥局、郵局等小型公共服務群。</w:t>
      </w:r>
    </w:p>
    <w:p w:rsidR="00667EA5" w:rsidRPr="00667EA5" w:rsidRDefault="00667EA5" w:rsidP="00667EA5">
      <w:pPr>
        <w:widowControl/>
        <w:numPr>
          <w:ilvl w:val="0"/>
          <w:numId w:val="1"/>
        </w:numPr>
        <w:shd w:val="clear" w:color="auto" w:fill="FFFFFF"/>
        <w:spacing w:line="400" w:lineRule="exact"/>
        <w:ind w:left="360"/>
        <w:textAlignment w:val="baseline"/>
        <w:rPr>
          <w:rFonts w:ascii="inherit" w:eastAsia="微軟正黑體" w:hAnsi="inherit" w:cs="新細明體"/>
          <w:color w:val="404040"/>
          <w:kern w:val="0"/>
          <w:sz w:val="27"/>
          <w:szCs w:val="27"/>
        </w:rPr>
      </w:pP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鄰里社區中心的服務範圍為半徑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800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公尺（步行約５－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10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分鐘，以步行最大容忍距離衡量之）。</w:t>
      </w:r>
    </w:p>
    <w:p w:rsidR="00667EA5" w:rsidRPr="00667EA5" w:rsidRDefault="00667EA5" w:rsidP="00667EA5">
      <w:pPr>
        <w:widowControl/>
        <w:numPr>
          <w:ilvl w:val="0"/>
          <w:numId w:val="1"/>
        </w:numPr>
        <w:shd w:val="clear" w:color="auto" w:fill="FFFFFF"/>
        <w:spacing w:line="400" w:lineRule="exact"/>
        <w:ind w:left="360"/>
        <w:textAlignment w:val="baseline"/>
        <w:rPr>
          <w:rFonts w:ascii="inherit" w:eastAsia="微軟正黑體" w:hAnsi="inherit" w:cs="新細明體"/>
          <w:color w:val="404040"/>
          <w:kern w:val="0"/>
          <w:sz w:val="27"/>
          <w:szCs w:val="27"/>
        </w:rPr>
      </w:pP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鄰里社區的人口規模為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 xml:space="preserve"> 5000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人（維持一至兩所小學所需的人口數）。</w:t>
      </w:r>
    </w:p>
    <w:p w:rsidR="00667EA5" w:rsidRPr="00667EA5" w:rsidRDefault="00667EA5" w:rsidP="00667EA5">
      <w:pPr>
        <w:widowControl/>
        <w:numPr>
          <w:ilvl w:val="0"/>
          <w:numId w:val="1"/>
        </w:numPr>
        <w:shd w:val="clear" w:color="auto" w:fill="FFFFFF"/>
        <w:spacing w:line="400" w:lineRule="exact"/>
        <w:ind w:left="360"/>
        <w:textAlignment w:val="baseline"/>
        <w:rPr>
          <w:rFonts w:ascii="inherit" w:eastAsia="微軟正黑體" w:hAnsi="inherit" w:cs="新細明體"/>
          <w:color w:val="404040"/>
          <w:kern w:val="0"/>
          <w:sz w:val="27"/>
          <w:szCs w:val="27"/>
        </w:rPr>
      </w:pP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大型綠地規劃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 xml:space="preserve"> – 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以大型公園綠地為鄰里單元的骨幹；公園、兒童遊戲場及綠地等組成景觀開放系統空間。面積占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12%~14%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，並以步道聯絡。</w:t>
      </w:r>
    </w:p>
    <w:p w:rsidR="00667EA5" w:rsidRPr="00667EA5" w:rsidRDefault="00667EA5" w:rsidP="00667EA5">
      <w:pPr>
        <w:widowControl/>
        <w:numPr>
          <w:ilvl w:val="0"/>
          <w:numId w:val="1"/>
        </w:numPr>
        <w:shd w:val="clear" w:color="auto" w:fill="FFFFFF"/>
        <w:spacing w:line="400" w:lineRule="exact"/>
        <w:ind w:left="360"/>
        <w:textAlignment w:val="baseline"/>
        <w:rPr>
          <w:rFonts w:ascii="inherit" w:eastAsia="微軟正黑體" w:hAnsi="inherit" w:cs="新細明體"/>
          <w:color w:val="404040"/>
          <w:kern w:val="0"/>
          <w:sz w:val="27"/>
          <w:szCs w:val="27"/>
        </w:rPr>
      </w:pP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交通系統規劃</w:t>
      </w: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 xml:space="preserve"> –</w:t>
      </w:r>
    </w:p>
    <w:p w:rsidR="00667EA5" w:rsidRPr="00667EA5" w:rsidRDefault="00667EA5" w:rsidP="00667EA5">
      <w:pPr>
        <w:widowControl/>
        <w:numPr>
          <w:ilvl w:val="1"/>
          <w:numId w:val="1"/>
        </w:numPr>
        <w:shd w:val="clear" w:color="auto" w:fill="FFFFFF"/>
        <w:spacing w:line="400" w:lineRule="exact"/>
        <w:ind w:left="720"/>
        <w:textAlignment w:val="baseline"/>
        <w:rPr>
          <w:rFonts w:ascii="inherit" w:eastAsia="微軟正黑體" w:hAnsi="inherit" w:cs="新細明體"/>
          <w:color w:val="404040"/>
          <w:kern w:val="0"/>
          <w:sz w:val="27"/>
          <w:szCs w:val="27"/>
        </w:rPr>
      </w:pPr>
      <w:r w:rsidRPr="00667EA5">
        <w:rPr>
          <w:rFonts w:ascii="inherit" w:eastAsia="微軟正黑體" w:hAnsi="inherit" w:cs="新細明體"/>
          <w:color w:val="404040"/>
          <w:kern w:val="0"/>
          <w:sz w:val="27"/>
          <w:szCs w:val="27"/>
        </w:rPr>
        <w:t>分離式的街道系統：採人車分離、道路分級規劃。</w:t>
      </w:r>
    </w:p>
    <w:p w:rsidR="00BB56A0" w:rsidRPr="00667EA5" w:rsidRDefault="00BB56A0"/>
    <w:sectPr w:rsidR="00BB56A0" w:rsidRPr="00667EA5" w:rsidSect="00667EA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85F" w:rsidRDefault="001A285F" w:rsidP="00FD5FF7">
      <w:r>
        <w:separator/>
      </w:r>
    </w:p>
  </w:endnote>
  <w:endnote w:type="continuationSeparator" w:id="0">
    <w:p w:rsidR="001A285F" w:rsidRDefault="001A285F" w:rsidP="00FD5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FF7" w:rsidRDefault="00FD5FF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3935353"/>
      <w:docPartObj>
        <w:docPartGallery w:val="Page Numbers (Bottom of Page)"/>
        <w:docPartUnique/>
      </w:docPartObj>
    </w:sdtPr>
    <w:sdtContent>
      <w:p w:rsidR="00FD5FF7" w:rsidRDefault="00FD5FF7" w:rsidP="00FD5FF7">
        <w:pPr>
          <w:pStyle w:val="a6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85F" w:rsidRPr="001A285F">
          <w:rPr>
            <w:noProof/>
            <w:lang w:val="zh-TW"/>
          </w:rPr>
          <w:t>1</w:t>
        </w:r>
        <w:r>
          <w:fldChar w:fldCharType="end"/>
        </w:r>
        <w:bookmarkStart w:id="0" w:name="_GoBack"/>
        <w:r w:rsidRPr="00FD5FF7">
          <w:rPr>
            <w:rFonts w:hint="eastAsia"/>
          </w:rPr>
          <w:t>澳洲田園城市</w:t>
        </w:r>
        <w:r w:rsidRPr="00FD5FF7">
          <w:rPr>
            <w:rFonts w:hint="eastAsia"/>
          </w:rPr>
          <w:t>I</w:t>
        </w:r>
        <w:r w:rsidRPr="00FD5FF7">
          <w:rPr>
            <w:rFonts w:hint="eastAsia"/>
          </w:rPr>
          <w:t>：花園郊區</w:t>
        </w:r>
        <w:r w:rsidRPr="00FD5FF7">
          <w:rPr>
            <w:rFonts w:hint="eastAsia"/>
          </w:rPr>
          <w:t>(Garden Suburb)</w:t>
        </w:r>
        <w:r w:rsidRPr="00FD5FF7">
          <w:rPr>
            <w:rFonts w:hint="eastAsia"/>
          </w:rPr>
          <w:t>空間發展政策</w:t>
        </w:r>
      </w:p>
    </w:sdtContent>
  </w:sdt>
  <w:bookmarkEnd w:id="0" w:displacedByCustomXml="prev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FF7" w:rsidRDefault="00FD5FF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85F" w:rsidRDefault="001A285F" w:rsidP="00FD5FF7">
      <w:r>
        <w:separator/>
      </w:r>
    </w:p>
  </w:footnote>
  <w:footnote w:type="continuationSeparator" w:id="0">
    <w:p w:rsidR="001A285F" w:rsidRDefault="001A285F" w:rsidP="00FD5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FF7" w:rsidRDefault="00FD5FF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FF7" w:rsidRDefault="00FD5FF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FF7" w:rsidRDefault="00FD5FF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1F5E"/>
    <w:multiLevelType w:val="multilevel"/>
    <w:tmpl w:val="18C21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EA5"/>
    <w:rsid w:val="001A285F"/>
    <w:rsid w:val="00667EA5"/>
    <w:rsid w:val="00BB56A0"/>
    <w:rsid w:val="00FD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80A53"/>
  <w15:chartTrackingRefBased/>
  <w15:docId w15:val="{CB75EAD3-A436-4B44-951D-2613F370F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67EA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667EA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667EA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667EA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667EA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posted-on">
    <w:name w:val="posted-on"/>
    <w:basedOn w:val="a0"/>
    <w:rsid w:val="00667EA5"/>
  </w:style>
  <w:style w:type="character" w:styleId="a3">
    <w:name w:val="Hyperlink"/>
    <w:basedOn w:val="a0"/>
    <w:uiPriority w:val="99"/>
    <w:unhideWhenUsed/>
    <w:rsid w:val="00667EA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D5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5FF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5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5F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0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yesonplace.net/2016/08/10/3143/" TargetMode="External"/><Relationship Id="rId13" Type="http://schemas.openxmlformats.org/officeDocument/2006/relationships/image" Target="media/image3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eyesonplace.net/2016/08/10/3143/" TargetMode="Externa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anberra.com.au/canberra-the-worlds-most-liveable-city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canberratimes.com.au/act-news/canberra-named-the-best-place-in-the-worldagain-20141006-10r5sp.htm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cgps-teacher</dc:creator>
  <cp:keywords/>
  <dc:description/>
  <cp:lastModifiedBy>cgps-teacher</cp:lastModifiedBy>
  <cp:revision>1</cp:revision>
  <dcterms:created xsi:type="dcterms:W3CDTF">2021-03-06T08:50:00Z</dcterms:created>
  <dcterms:modified xsi:type="dcterms:W3CDTF">2021-03-06T09:05:00Z</dcterms:modified>
</cp:coreProperties>
</file>